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Решение Татарстанского УФАС России от 03.03.2020 N АЯ-04/2665</w:t>
      </w:r>
    </w:p>
    <w:p>
      <w:pPr>
        <w:pStyle w:val="0"/>
        <w:jc w:val="both"/>
      </w:pPr>
      <w:r>
        <w:rPr>
          <w:sz w:val="20"/>
        </w:rPr>
        <w:t xml:space="preserve">Нарушение: ч. 2, п. 1 ч. 6 ст. 69 Закона о контрактной системе.</w:t>
      </w:r>
    </w:p>
    <w:p>
      <w:pPr>
        <w:pStyle w:val="0"/>
        <w:jc w:val="both"/>
      </w:pPr>
      <w:r>
        <w:rPr>
          <w:sz w:val="20"/>
        </w:rPr>
        <w:t xml:space="preserve">Решение: Признать жалобу необоснованной; предписание не выдавать.</w:t>
      </w:r>
    </w:p>
    <w:p>
      <w:pPr>
        <w:pStyle w:val="0"/>
      </w:pPr>
      <w:r>
        <w:rPr>
          <w:sz w:val="20"/>
          <w:b w:val="on"/>
        </w:rPr>
        <w:t xml:space="preserve">Примечание к документу</w:t>
      </w:r>
    </w:p>
    <w:p>
      <w:pPr>
        <w:pStyle w:val="0"/>
        <w:jc w:val="both"/>
      </w:pPr>
      <w:r>
        <w:rPr>
          <w:sz w:val="20"/>
        </w:rPr>
        <w:t xml:space="preserve">Текст документа приведен в соответствии с публикацией на сайте </w:t>
      </w:r>
      <w:r>
        <w:rPr>
          <w:sz w:val="20"/>
        </w:rPr>
        <w:t xml:space="preserve">https://br.fas.gov.ru</w:t>
      </w:r>
      <w:r>
        <w:rPr>
          <w:sz w:val="20"/>
        </w:rPr>
        <w:t xml:space="preserve"> по состоянию на 13.03.2020.</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УПРАВЛЕНИЕ ФЕДЕРАЛЬНОЙ АНТИМОНОПОЛЬНОЙ СЛУЖБЫ</w:t>
      </w:r>
    </w:p>
    <w:p>
      <w:pPr>
        <w:pStyle w:val="2"/>
        <w:jc w:val="center"/>
      </w:pPr>
      <w:r>
        <w:rPr>
          <w:sz w:val="20"/>
        </w:rPr>
        <w:t xml:space="preserve">ПО РЕСПУБЛИКЕ ТАТАРСТАН</w:t>
      </w:r>
    </w:p>
    <w:p>
      <w:pPr>
        <w:pStyle w:val="2"/>
        <w:jc w:val="center"/>
      </w:pPr>
      <w:r>
        <w:rPr>
          <w:sz w:val="20"/>
        </w:rPr>
      </w:r>
    </w:p>
    <w:p>
      <w:pPr>
        <w:pStyle w:val="2"/>
        <w:outlineLvl w:val="0"/>
        <w:jc w:val="center"/>
      </w:pPr>
      <w:r>
        <w:rPr>
          <w:sz w:val="20"/>
        </w:rPr>
        <w:t xml:space="preserve">РЕШЕНИЕ</w:t>
      </w:r>
    </w:p>
    <w:p>
      <w:pPr>
        <w:pStyle w:val="2"/>
        <w:jc w:val="center"/>
      </w:pPr>
      <w:r>
        <w:rPr>
          <w:sz w:val="20"/>
        </w:rPr>
        <w:t xml:space="preserve">от 3 марта 2020 г. N АЯ-04/2665</w:t>
      </w:r>
    </w:p>
    <w:p>
      <w:pPr>
        <w:pStyle w:val="0"/>
        <w:ind w:firstLine="540"/>
        <w:jc w:val="both"/>
      </w:pPr>
      <w:r>
        <w:rPr>
          <w:sz w:val="20"/>
        </w:rPr>
      </w:r>
    </w:p>
    <w:p>
      <w:pPr>
        <w:pStyle w:val="0"/>
        <w:ind w:firstLine="540"/>
        <w:jc w:val="both"/>
      </w:pPr>
      <w:r>
        <w:rPr>
          <w:sz w:val="20"/>
        </w:rPr>
        <w:t xml:space="preserve">Комиссия Управления Федеральной антимонопольной службы по Республике Татарстан по контролю в сфере закупок товаров, работ, услуг для обеспечения государственных и муниципальных нужд (далее - Комиссия) в составе:</w:t>
      </w:r>
    </w:p>
    <w:p>
      <w:pPr>
        <w:pStyle w:val="0"/>
        <w:spacing w:before="200" w:line-rule="auto"/>
        <w:ind w:firstLine="540"/>
        <w:jc w:val="both"/>
      </w:pPr>
      <w:r>
        <w:rPr>
          <w:sz w:val="20"/>
        </w:rPr>
        <w:t xml:space="preserve">Председатель Комиссии:</w:t>
      </w:r>
    </w:p>
    <w:p>
      <w:pPr>
        <w:pStyle w:val="0"/>
        <w:spacing w:before="200" w:line-rule="auto"/>
        <w:ind w:firstLine="540"/>
        <w:jc w:val="both"/>
      </w:pPr>
      <w:r>
        <w:rPr>
          <w:sz w:val="20"/>
        </w:rPr>
        <w:t xml:space="preserve">&lt;...&gt; - [должностное лицо]</w:t>
      </w:r>
    </w:p>
    <w:p>
      <w:pPr>
        <w:pStyle w:val="0"/>
        <w:spacing w:before="200" w:line-rule="auto"/>
        <w:ind w:firstLine="540"/>
        <w:jc w:val="both"/>
      </w:pPr>
      <w:r>
        <w:rPr>
          <w:sz w:val="20"/>
        </w:rPr>
        <w:t xml:space="preserve">Члены Комиссии:</w:t>
      </w:r>
    </w:p>
    <w:p>
      <w:pPr>
        <w:pStyle w:val="0"/>
        <w:spacing w:before="200" w:line-rule="auto"/>
        <w:ind w:firstLine="540"/>
        <w:jc w:val="both"/>
      </w:pPr>
      <w:r>
        <w:rPr>
          <w:sz w:val="20"/>
        </w:rPr>
        <w:t xml:space="preserve">&lt;...&gt; - [должностное лицо]</w:t>
      </w:r>
    </w:p>
    <w:p>
      <w:pPr>
        <w:pStyle w:val="0"/>
        <w:spacing w:before="200" w:line-rule="auto"/>
        <w:ind w:firstLine="540"/>
        <w:jc w:val="both"/>
      </w:pPr>
      <w:r>
        <w:rPr>
          <w:sz w:val="20"/>
        </w:rPr>
        <w:t xml:space="preserve">&lt;...&gt; - [должностное лицо]</w:t>
      </w:r>
    </w:p>
    <w:p>
      <w:pPr>
        <w:pStyle w:val="0"/>
        <w:spacing w:before="200" w:line-rule="auto"/>
        <w:ind w:firstLine="540"/>
        <w:jc w:val="both"/>
      </w:pPr>
      <w:r>
        <w:rPr>
          <w:sz w:val="20"/>
        </w:rPr>
        <w:t xml:space="preserve">в присутствии представителя заказчика ГКУ "Г" - &lt;...&gt; (доверенность N 3 от 09.01.2020 г.), в отсутствие заявителя ООО "И", о времени и месте рассмотрения жалобы уведомленного надлежащим образом, рассмотрев жалобу заявителя ООО "И" (вх. N 2129/ж от 21.02.2020 г.) на действия заказчика ГКУ "Г" при проведении закупки N 0311200024920000012 на предмет: "Выполнение работ по ремонту автодорог общего пользования Республики Татарстан",</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Извещение о проведении электронного аукциона N 0311200024920000012 размещено на официальном сайте Российской Федерации </w:t>
      </w:r>
      <w:r>
        <w:rPr>
          <w:sz w:val="20"/>
        </w:rPr>
        <w:t xml:space="preserve">www.zakupki.gov.ru</w:t>
      </w:r>
      <w:r>
        <w:rPr>
          <w:sz w:val="20"/>
        </w:rPr>
        <w:t xml:space="preserve"> 07.02.2020 г.</w:t>
      </w:r>
    </w:p>
    <w:p>
      <w:pPr>
        <w:pStyle w:val="0"/>
        <w:spacing w:before="200" w:line-rule="auto"/>
        <w:ind w:firstLine="540"/>
        <w:jc w:val="both"/>
      </w:pPr>
      <w:r>
        <w:rPr>
          <w:sz w:val="20"/>
        </w:rPr>
        <w:t xml:space="preserve">Заказчик - ГКУ "Г".</w:t>
      </w:r>
    </w:p>
    <w:p>
      <w:pPr>
        <w:pStyle w:val="0"/>
        <w:spacing w:before="200" w:line-rule="auto"/>
        <w:ind w:firstLine="540"/>
        <w:jc w:val="both"/>
      </w:pPr>
      <w:r>
        <w:rPr>
          <w:sz w:val="20"/>
        </w:rPr>
        <w:t xml:space="preserve">Начальная (максимальная) цена контракта - 47 852 405,00 руб.</w:t>
      </w:r>
    </w:p>
    <w:p>
      <w:pPr>
        <w:pStyle w:val="0"/>
        <w:spacing w:before="200" w:line-rule="auto"/>
        <w:ind w:firstLine="540"/>
        <w:jc w:val="both"/>
      </w:pPr>
      <w:r>
        <w:rPr>
          <w:sz w:val="20"/>
        </w:rPr>
        <w:t xml:space="preserve">Суть жалобы, по мнению заявителя, закупка проводится с нарушениями норм действующего законодательства.</w:t>
      </w:r>
    </w:p>
    <w:p>
      <w:pPr>
        <w:pStyle w:val="0"/>
        <w:spacing w:before="200" w:line-rule="auto"/>
        <w:ind w:firstLine="540"/>
        <w:jc w:val="both"/>
      </w:pPr>
      <w:r>
        <w:rPr>
          <w:sz w:val="20"/>
        </w:rPr>
        <w:t xml:space="preserve">Заказчик с доводами, изложенными в жалобе, согласился, представил устные и письменные пояснения.</w:t>
      </w:r>
    </w:p>
    <w:p>
      <w:pPr>
        <w:pStyle w:val="0"/>
        <w:spacing w:before="200" w:line-rule="auto"/>
        <w:ind w:firstLine="540"/>
        <w:jc w:val="both"/>
      </w:pPr>
      <w:r>
        <w:rPr>
          <w:sz w:val="20"/>
        </w:rPr>
        <w:t xml:space="preserve">Комиссия Татарстанского УФАС России по результатам рассмотрения доводов заявителя на действия заказчика и позиции заказчика, изучения документации электронного аукциона приходит к следующим выводам.</w:t>
      </w:r>
    </w:p>
    <w:p>
      <w:pPr>
        <w:pStyle w:val="0"/>
        <w:spacing w:before="200" w:line-rule="auto"/>
        <w:ind w:firstLine="540"/>
        <w:jc w:val="both"/>
      </w:pPr>
      <w:r>
        <w:rPr>
          <w:sz w:val="20"/>
        </w:rPr>
        <w:t xml:space="preserve">Относительно довода заявителя о необоснованном отклонении заявки заявителя.</w:t>
      </w:r>
    </w:p>
    <w:p>
      <w:pPr>
        <w:pStyle w:val="0"/>
        <w:spacing w:before="200" w:line-rule="auto"/>
        <w:ind w:firstLine="540"/>
        <w:jc w:val="both"/>
      </w:pPr>
      <w:r>
        <w:rPr>
          <w:sz w:val="20"/>
        </w:rPr>
        <w:t xml:space="preserve">В соответствии с </w:t>
      </w:r>
      <w:r>
        <w:rPr>
          <w:sz w:val="20"/>
        </w:rPr>
        <w:t xml:space="preserve">пунктом 2 части 1 статьи 64</w:t>
      </w:r>
      <w:r>
        <w:rPr>
          <w:sz w:val="20"/>
        </w:rPr>
        <w:t xml:space="preserve"> Закона о контрактной системе документация об электронном аукционе наряду с информацией, указанной в извещении о проведении такого аукциона, должна содержать следующую информацию:</w:t>
      </w:r>
    </w:p>
    <w:p>
      <w:pPr>
        <w:pStyle w:val="0"/>
        <w:spacing w:before="200" w:line-rule="auto"/>
        <w:ind w:firstLine="540"/>
        <w:jc w:val="both"/>
      </w:pPr>
      <w:r>
        <w:rPr>
          <w:sz w:val="20"/>
        </w:rPr>
        <w:t xml:space="preserve">- требования к содержанию, составу заявки на участие в таком аукционе в соответствии с </w:t>
      </w:r>
      <w:r>
        <w:rPr>
          <w:sz w:val="20"/>
        </w:rPr>
        <w:t xml:space="preserve">частями 3</w:t>
      </w:r>
      <w:r>
        <w:rPr>
          <w:sz w:val="20"/>
        </w:rPr>
        <w:t xml:space="preserve"> - </w:t>
      </w:r>
      <w:r>
        <w:rPr>
          <w:sz w:val="20"/>
        </w:rPr>
        <w:t xml:space="preserve">6 статьи 66</w:t>
      </w:r>
      <w:r>
        <w:rPr>
          <w:sz w:val="20"/>
        </w:rPr>
        <w:t xml:space="preserve"> настоящего Федерального закона и инструкция по ее заполнению. При этом не допускается установление требований, влекущих за собой ограничение количества участников такого аукциона или ограничение доступа к участию в таком аукционе.</w:t>
      </w:r>
    </w:p>
    <w:p>
      <w:pPr>
        <w:pStyle w:val="0"/>
        <w:spacing w:before="200" w:line-rule="auto"/>
        <w:ind w:firstLine="540"/>
        <w:jc w:val="both"/>
      </w:pPr>
      <w:r>
        <w:rPr>
          <w:sz w:val="20"/>
        </w:rPr>
        <w:t xml:space="preserve">В соответствии с </w:t>
      </w:r>
      <w:r>
        <w:rPr>
          <w:sz w:val="20"/>
        </w:rPr>
        <w:t xml:space="preserve">частью 5 статьи 66</w:t>
      </w:r>
      <w:r>
        <w:rPr>
          <w:sz w:val="20"/>
        </w:rPr>
        <w:t xml:space="preserve"> Закона о контрактной системе вторая часть заявки на участие в электронном аукционе должна содержать следующие документы и информацию:</w:t>
      </w:r>
    </w:p>
    <w:p>
      <w:pPr>
        <w:pStyle w:val="0"/>
        <w:spacing w:before="200" w:line-rule="auto"/>
        <w:ind w:firstLine="540"/>
        <w:jc w:val="both"/>
      </w:pPr>
      <w:r>
        <w:rPr>
          <w:sz w:val="20"/>
        </w:rPr>
        <w:t xml:space="preserve">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pPr>
        <w:pStyle w:val="0"/>
        <w:spacing w:before="200" w:line-rule="auto"/>
        <w:ind w:firstLine="540"/>
        <w:jc w:val="both"/>
      </w:pPr>
      <w:r>
        <w:rPr>
          <w:sz w:val="20"/>
        </w:rPr>
        <w:t xml:space="preserve">2) документы, подтверждающие соответствие участника такого аукциона требованиям, установленным </w:t>
      </w:r>
      <w:r>
        <w:rPr>
          <w:sz w:val="20"/>
        </w:rPr>
        <w:t xml:space="preserve">пунктом 1 части 1 статьи 31</w:t>
      </w:r>
      <w:r>
        <w:rPr>
          <w:sz w:val="20"/>
        </w:rPr>
        <w:t xml:space="preserve"> настоящего Федерального закона, или копии этих документов, а также декларация о соответствии участника такого аукциона требованиям, установленным </w:t>
      </w:r>
      <w:r>
        <w:rPr>
          <w:sz w:val="20"/>
        </w:rPr>
        <w:t xml:space="preserve">пунктами 3</w:t>
      </w:r>
      <w:r>
        <w:rPr>
          <w:sz w:val="20"/>
        </w:rPr>
        <w:t xml:space="preserve"> - </w:t>
      </w:r>
      <w:r>
        <w:rPr>
          <w:sz w:val="20"/>
        </w:rPr>
        <w:t xml:space="preserve">9 части 1 статьи 31</w:t>
      </w:r>
      <w:r>
        <w:rPr>
          <w:sz w:val="20"/>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pPr>
        <w:pStyle w:val="0"/>
        <w:spacing w:before="200" w:line-rule="auto"/>
        <w:ind w:firstLine="540"/>
        <w:jc w:val="both"/>
      </w:pPr>
      <w:r>
        <w:rPr>
          <w:sz w:val="20"/>
        </w:rPr>
        <w:t xml:space="preserve">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pPr>
        <w:pStyle w:val="0"/>
        <w:spacing w:before="200" w:line-rule="auto"/>
        <w:ind w:firstLine="540"/>
        <w:jc w:val="both"/>
      </w:pPr>
      <w:r>
        <w:rPr>
          <w:sz w:val="20"/>
        </w:rPr>
        <w:t xml:space="preserve">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pPr>
        <w:pStyle w:val="0"/>
        <w:spacing w:before="200" w:line-rule="auto"/>
        <w:ind w:firstLine="540"/>
        <w:jc w:val="both"/>
      </w:pPr>
      <w:r>
        <w:rPr>
          <w:sz w:val="20"/>
        </w:rPr>
        <w:t xml:space="preserve">5) документы, подтверждающие право участника электронного аукциона на получение преимуществ в соответствии со </w:t>
      </w:r>
      <w:r>
        <w:rPr>
          <w:sz w:val="20"/>
        </w:rPr>
        <w:t xml:space="preserve">статьями 28</w:t>
      </w:r>
      <w:r>
        <w:rPr>
          <w:sz w:val="20"/>
        </w:rPr>
        <w:t xml:space="preserve"> и </w:t>
      </w:r>
      <w:r>
        <w:rPr>
          <w:sz w:val="20"/>
        </w:rPr>
        <w:t xml:space="preserve">29</w:t>
      </w:r>
      <w:r>
        <w:rPr>
          <w:sz w:val="20"/>
        </w:rPr>
        <w:t xml:space="preserve"> настоящего Федерального закона (в случае, если участник электронного аукциона заявил о получении указанных преимуществ), или копии таких документов;</w:t>
      </w:r>
    </w:p>
    <w:p>
      <w:pPr>
        <w:pStyle w:val="0"/>
        <w:spacing w:before="200" w:line-rule="auto"/>
        <w:ind w:firstLine="540"/>
        <w:jc w:val="both"/>
      </w:pPr>
      <w:r>
        <w:rPr>
          <w:sz w:val="20"/>
        </w:rPr>
        <w:t xml:space="preserve">6) документы, предусмотренные нормативными правовыми актами, принятыми в соответствии со </w:t>
      </w:r>
      <w:r>
        <w:rPr>
          <w:sz w:val="20"/>
        </w:rPr>
        <w:t xml:space="preserve">статьей 14</w:t>
      </w:r>
      <w:r>
        <w:rPr>
          <w:sz w:val="20"/>
        </w:rP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электронном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pPr>
        <w:pStyle w:val="0"/>
        <w:spacing w:before="200" w:line-rule="auto"/>
        <w:ind w:firstLine="540"/>
        <w:jc w:val="both"/>
      </w:pPr>
      <w:r>
        <w:rPr>
          <w:sz w:val="20"/>
        </w:rPr>
        <w:t xml:space="preserve">7) декларация о принадлежности участника такого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r>
        <w:rPr>
          <w:sz w:val="20"/>
        </w:rPr>
        <w:t xml:space="preserve">частью 3 статьи 30</w:t>
      </w:r>
      <w:r>
        <w:rPr>
          <w:sz w:val="20"/>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pPr>
        <w:pStyle w:val="0"/>
        <w:spacing w:before="200" w:line-rule="auto"/>
        <w:ind w:firstLine="540"/>
        <w:jc w:val="both"/>
      </w:pPr>
      <w:r>
        <w:rPr>
          <w:sz w:val="20"/>
        </w:rPr>
        <w:t xml:space="preserve">В соответствии с </w:t>
      </w:r>
      <w:r>
        <w:rPr>
          <w:sz w:val="20"/>
        </w:rPr>
        <w:t xml:space="preserve">частью 6 статьи 66</w:t>
      </w:r>
      <w:r>
        <w:rPr>
          <w:sz w:val="20"/>
        </w:rPr>
        <w:t xml:space="preserve"> Закона о контрактной системе требовать от участника электронного аукциона предоставления иных документов и информации, за исключением предусмотренных частями 3 или 3.1 и 5 настоящей статьи документов и информации, не допускается.</w:t>
      </w:r>
    </w:p>
    <w:p>
      <w:pPr>
        <w:pStyle w:val="0"/>
        <w:spacing w:before="200" w:line-rule="auto"/>
        <w:ind w:firstLine="540"/>
        <w:jc w:val="both"/>
      </w:pPr>
      <w:r>
        <w:rPr>
          <w:sz w:val="20"/>
        </w:rPr>
        <w:t xml:space="preserve">В соответствии с </w:t>
      </w:r>
      <w:r>
        <w:rPr>
          <w:sz w:val="20"/>
        </w:rPr>
        <w:t xml:space="preserve">частью 1 статьи 69</w:t>
      </w:r>
      <w:r>
        <w:rPr>
          <w:sz w:val="20"/>
        </w:rPr>
        <w:t xml:space="preserve"> Закона о контрактной системе аукционная комиссия рассматривает вторые части заявок на участие в электронном аукционе, информацию и электронные документы, направленные заказчику оператором электронной площадки в соответствии с </w:t>
      </w:r>
      <w:r>
        <w:rPr>
          <w:sz w:val="20"/>
        </w:rPr>
        <w:t xml:space="preserve">частью 19 статьи 68</w:t>
      </w:r>
      <w:r>
        <w:rPr>
          <w:sz w:val="20"/>
        </w:rPr>
        <w:t xml:space="preserve"> настоящего Федерального закона, в части соответствия их требованиям, установленным документацией о таком аукционе.</w:t>
      </w:r>
    </w:p>
    <w:p>
      <w:pPr>
        <w:pStyle w:val="0"/>
        <w:spacing w:before="200" w:line-rule="auto"/>
        <w:ind w:firstLine="540"/>
        <w:jc w:val="both"/>
      </w:pPr>
      <w:r>
        <w:rPr>
          <w:sz w:val="20"/>
        </w:rPr>
        <w:t xml:space="preserve">В соответствии с частью 2 статьи 69 Закона о контраткной системе 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статьей. Для принятия указанного решения аукционная комиссия рассматривает информацию о подавшем данную заявку участнике такого аукциона, содержащуюся в реестре участников такого аукциона, получивших аккредитацию на электронной площадке.</w:t>
      </w:r>
    </w:p>
    <w:p>
      <w:pPr>
        <w:pStyle w:val="0"/>
        <w:spacing w:before="200" w:line-rule="auto"/>
        <w:ind w:firstLine="540"/>
        <w:jc w:val="both"/>
      </w:pPr>
      <w:r>
        <w:rPr>
          <w:sz w:val="20"/>
        </w:rPr>
        <w:t xml:space="preserve">Согласно пункту 1 части 6 статьи 69 Закона о контраткной системе заявка на участие в электронном аукционе признается не соответствующей требованиям, установленным документацией о таком аукционе, в случае непредставления документов и информации, которые предусмотрены частью 11 статьи 24.1, частями 3 или 3.1, 5, 8.2 статьи 66 настоящего Федерального закона,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pPr>
        <w:pStyle w:val="0"/>
        <w:spacing w:before="200" w:line-rule="auto"/>
        <w:ind w:firstLine="540"/>
        <w:jc w:val="both"/>
      </w:pPr>
      <w:r>
        <w:rPr>
          <w:sz w:val="20"/>
        </w:rPr>
        <w:t xml:space="preserve">В соответствии с </w:t>
      </w:r>
      <w:r>
        <w:rPr>
          <w:sz w:val="20"/>
        </w:rPr>
        <w:t xml:space="preserve">частью 11 статьи 24.1</w:t>
      </w:r>
      <w:r>
        <w:rPr>
          <w:sz w:val="20"/>
        </w:rPr>
        <w:t xml:space="preserve"> Закона о контрактной системе Оператор электронной площадки, в том числе путем информационного взаимодействия с государственными информационными системами, в соответствии с требованиями, установленными </w:t>
      </w:r>
      <w:r>
        <w:rPr>
          <w:sz w:val="20"/>
        </w:rPr>
        <w:t xml:space="preserve">частью 2 настоящей статьи</w:t>
      </w:r>
      <w:r>
        <w:rPr>
          <w:sz w:val="20"/>
        </w:rPr>
        <w:t xml:space="preserve">, обеспечивает предоставление заказчику в сроки и случаях, установленных настоящим Федеральным законом, следующих документов и информации:</w:t>
      </w:r>
    </w:p>
    <w:p>
      <w:pPr>
        <w:pStyle w:val="0"/>
        <w:spacing w:before="200" w:line-rule="auto"/>
        <w:ind w:firstLine="540"/>
        <w:jc w:val="both"/>
      </w:pPr>
      <w:r>
        <w:rPr>
          <w:sz w:val="20"/>
        </w:rPr>
        <w:t xml:space="preserve">1) копии учредительных документов участника закупки (для юридического лица), надлежащим образом заверенный перевод на русский язык учредительных документов юридического лица в соответствии с законодательством соответствующего государства (для иностранного лица);</w:t>
      </w:r>
    </w:p>
    <w:p>
      <w:pPr>
        <w:pStyle w:val="0"/>
        <w:spacing w:before="200" w:line-rule="auto"/>
        <w:ind w:firstLine="540"/>
        <w:jc w:val="both"/>
      </w:pPr>
      <w:r>
        <w:rPr>
          <w:sz w:val="20"/>
        </w:rPr>
        <w:t xml:space="preserve">2) фамилия, имя, отчество (при наличии) и должность лица, имеющего право без доверенности действовать от имени юридического лица, а также паспортные данные такого лица или данные иных документов, удостоверяющих личность в соответствии с законодательством Российской Федерации, и идентификационный номер налогоплательщика (при его наличии);</w:t>
      </w:r>
    </w:p>
    <w:p>
      <w:pPr>
        <w:pStyle w:val="0"/>
        <w:spacing w:before="200" w:line-rule="auto"/>
        <w:ind w:firstLine="540"/>
        <w:jc w:val="both"/>
      </w:pPr>
      <w:r>
        <w:rPr>
          <w:sz w:val="20"/>
        </w:rPr>
        <w:t xml:space="preserve">3) идентификационный номер налогоплательщика этого участника закупки или в соответствии с законодательством соответствующего государства аналог идентификационного номера налогоплательщика участника закупки (для иностранного лица);</w:t>
      </w:r>
    </w:p>
    <w:p>
      <w:pPr>
        <w:pStyle w:val="0"/>
        <w:spacing w:before="200" w:line-rule="auto"/>
        <w:ind w:firstLine="540"/>
        <w:jc w:val="both"/>
      </w:pPr>
      <w:r>
        <w:rPr>
          <w:sz w:val="20"/>
        </w:rPr>
        <w:t xml:space="preserve">4) решение (копия решения) о согласии на совершение или о последующем одобрении крупных сделок по результатам электронных процедур от имени участника закупки - юридического лица с указанием максимальных параметров условий одной сделки;</w:t>
      </w:r>
    </w:p>
    <w:p>
      <w:pPr>
        <w:pStyle w:val="0"/>
        <w:spacing w:before="200" w:line-rule="auto"/>
        <w:ind w:firstLine="540"/>
        <w:jc w:val="both"/>
      </w:pPr>
      <w:r>
        <w:rPr>
          <w:sz w:val="20"/>
        </w:rPr>
        <w:t xml:space="preserve">5) копия документа, удостоверяющего личность участника закупки в соответствии с законодательством Российской Федерации (для физического лица, не являющегося индивидуальным предпринимателем);</w:t>
      </w:r>
    </w:p>
    <w:p>
      <w:pPr>
        <w:pStyle w:val="0"/>
        <w:spacing w:before="200" w:line-rule="auto"/>
        <w:ind w:firstLine="540"/>
        <w:jc w:val="both"/>
      </w:pPr>
      <w:r>
        <w:rPr>
          <w:sz w:val="20"/>
        </w:rPr>
        <w:t xml:space="preserve">6)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pPr>
        <w:pStyle w:val="0"/>
        <w:spacing w:before="200" w:line-rule="auto"/>
        <w:ind w:firstLine="540"/>
        <w:jc w:val="both"/>
      </w:pPr>
      <w:r>
        <w:rPr>
          <w:sz w:val="20"/>
        </w:rPr>
        <w:t xml:space="preserve">7)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pPr>
        <w:pStyle w:val="0"/>
        <w:spacing w:before="200" w:line-rule="auto"/>
        <w:ind w:firstLine="540"/>
        <w:jc w:val="both"/>
      </w:pPr>
      <w:r>
        <w:rPr>
          <w:sz w:val="20"/>
        </w:rPr>
        <w:t xml:space="preserve">Так, согласно протоколу подведения итогов электронного аукциона от 18.02.2020 N 0311200024920000012-3 заявка участника ООО "И" (N 1348525) была признана несоответствующей требованиям и отклонена по следующему основанию:</w:t>
      </w:r>
    </w:p>
    <w:p>
      <w:pPr>
        <w:pStyle w:val="0"/>
        <w:spacing w:before="200" w:line-rule="auto"/>
        <w:ind w:firstLine="540"/>
        <w:jc w:val="both"/>
      </w:pPr>
      <w:r>
        <w:rPr>
          <w:sz w:val="20"/>
        </w:rPr>
        <w:t xml:space="preserve">"Отклонить заявку номер 1348525 на основании </w:t>
      </w:r>
      <w:r>
        <w:rPr>
          <w:sz w:val="20"/>
        </w:rPr>
        <w:t xml:space="preserve">п. 1 ч. 6 ст. 69</w:t>
      </w:r>
      <w:r>
        <w:rPr>
          <w:sz w:val="20"/>
        </w:rPr>
        <w:t xml:space="preserve"> Федерального закона N 44-ФЗ от 05.04.2013 г. и п. 11.2. Аукционной документации в связи с отсутствием в ОГРН сведений о видах экономической деятельности по Общероссийскому классификатору видов экономической деятельности отсутствуют виды деятельности 42.11 - Дороги автомобильные и автомагистрали; строительные работы по строительству автомобильных дорог и автомагистралей".</w:t>
      </w:r>
    </w:p>
    <w:p>
      <w:pPr>
        <w:pStyle w:val="0"/>
        <w:spacing w:before="200" w:line-rule="auto"/>
        <w:ind w:firstLine="540"/>
        <w:jc w:val="both"/>
      </w:pPr>
      <w:r>
        <w:rPr>
          <w:sz w:val="20"/>
        </w:rPr>
        <w:t xml:space="preserve">В соотвеетствии с </w:t>
      </w:r>
      <w:r>
        <w:rPr>
          <w:sz w:val="20"/>
        </w:rPr>
        <w:t xml:space="preserve">пунктом 1 статьи 49</w:t>
      </w:r>
      <w:r>
        <w:rPr>
          <w:sz w:val="20"/>
        </w:rPr>
        <w:t xml:space="preserve"> ГК РФ юридическое лицо может иметь гражданские права, соответствующие целям деятельности, предусмотренным в его учредительном документе </w:t>
      </w:r>
      <w:r>
        <w:rPr>
          <w:sz w:val="20"/>
        </w:rPr>
        <w:t xml:space="preserve">(статья 52)</w:t>
      </w:r>
      <w:r>
        <w:rPr>
          <w:sz w:val="20"/>
        </w:rPr>
        <w:t xml:space="preserve">, и нести связанные с этой деятельностью обязанности.</w:t>
      </w:r>
    </w:p>
    <w:p>
      <w:pPr>
        <w:pStyle w:val="0"/>
        <w:spacing w:before="200" w:line-rule="auto"/>
        <w:ind w:firstLine="540"/>
        <w:jc w:val="both"/>
      </w:pPr>
      <w:r>
        <w:rPr>
          <w:sz w:val="20"/>
        </w:rPr>
        <w:t xml:space="preserve">Коммерческие организации, за исключением унитарных предприятий и иных видов организаций, предусмотренных законом, могут иметь гражданские права и нести гражданские обязанности, необходимые для осуществления любых видов деятельности, не запрещенных законом.</w:t>
      </w:r>
    </w:p>
    <w:p>
      <w:pPr>
        <w:pStyle w:val="0"/>
        <w:spacing w:before="200" w:line-rule="auto"/>
        <w:ind w:firstLine="540"/>
        <w:jc w:val="both"/>
      </w:pPr>
      <w:r>
        <w:rPr>
          <w:sz w:val="20"/>
        </w:rPr>
        <w:t xml:space="preserve">В случаях, предусмотренных законом, юридическое лицо может заниматься отдельными видами деятельности только на основании специального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pPr>
        <w:pStyle w:val="0"/>
        <w:spacing w:before="200" w:line-rule="auto"/>
        <w:ind w:firstLine="540"/>
        <w:jc w:val="both"/>
      </w:pPr>
      <w:r>
        <w:rPr>
          <w:sz w:val="20"/>
        </w:rPr>
        <w:t xml:space="preserve">В соответствии с пунктом 1 ствтьи 52 ГК РФ юридические лица, за исключением хозяйственных товариществ и государственных корпораций, действуют на основании уставов, которые утверждаются их учредителями (участниками), за исключением случая, предусмотренного </w:t>
      </w:r>
      <w:r>
        <w:rPr>
          <w:sz w:val="20"/>
        </w:rPr>
        <w:t xml:space="preserve">пунктом 2 настоящей статьи</w:t>
      </w:r>
      <w:r>
        <w:rPr>
          <w:sz w:val="20"/>
        </w:rPr>
        <w:t xml:space="preserve">.</w:t>
      </w:r>
    </w:p>
    <w:p>
      <w:pPr>
        <w:pStyle w:val="0"/>
        <w:spacing w:before="200" w:line-rule="auto"/>
        <w:ind w:firstLine="540"/>
        <w:jc w:val="both"/>
      </w:pPr>
      <w:r>
        <w:rPr>
          <w:sz w:val="20"/>
        </w:rPr>
        <w:t xml:space="preserve">В соответствиис </w:t>
      </w:r>
      <w:r>
        <w:rPr>
          <w:sz w:val="20"/>
        </w:rPr>
        <w:t xml:space="preserve">частью 2 статьи 12</w:t>
      </w:r>
      <w:r>
        <w:rPr>
          <w:sz w:val="20"/>
        </w:rPr>
        <w:t xml:space="preserve"> Федерального закона от 08.02.1998 N 14-ФЗ "Об обществах с ограниченной ответственностью" Устав общества, утвержденный учредителями (участниками) общества, должен содержать:</w:t>
      </w:r>
    </w:p>
    <w:p>
      <w:pPr>
        <w:pStyle w:val="0"/>
        <w:spacing w:before="200" w:line-rule="auto"/>
        <w:ind w:firstLine="540"/>
        <w:jc w:val="both"/>
      </w:pPr>
      <w:r>
        <w:rPr>
          <w:sz w:val="20"/>
        </w:rPr>
        <w:t xml:space="preserve">полное и сокращенное фирменное наименование общества;</w:t>
      </w:r>
    </w:p>
    <w:p>
      <w:pPr>
        <w:pStyle w:val="0"/>
        <w:spacing w:before="200" w:line-rule="auto"/>
        <w:ind w:firstLine="540"/>
        <w:jc w:val="both"/>
      </w:pPr>
      <w:r>
        <w:rPr>
          <w:sz w:val="20"/>
        </w:rPr>
        <w:t xml:space="preserve">сведения о месте нахождения общества;</w:t>
      </w:r>
    </w:p>
    <w:p>
      <w:pPr>
        <w:pStyle w:val="0"/>
        <w:spacing w:before="200" w:line-rule="auto"/>
        <w:ind w:firstLine="540"/>
        <w:jc w:val="both"/>
      </w:pPr>
      <w:r>
        <w:rPr>
          <w:sz w:val="20"/>
        </w:rPr>
        <w:t xml:space="preserve">сведения о составе и компетенции органов общества, в том числе о вопросах, составляющих исключительную компетенцию общего собрания участников общества, о порядке принятия органами общества решений, в том числе о вопросах, решения по которым принимаются единогласно или квалифицированным большинством голосов;</w:t>
      </w:r>
    </w:p>
    <w:p>
      <w:pPr>
        <w:pStyle w:val="0"/>
        <w:spacing w:before="200" w:line-rule="auto"/>
        <w:ind w:firstLine="540"/>
        <w:jc w:val="both"/>
      </w:pPr>
      <w:r>
        <w:rPr>
          <w:sz w:val="20"/>
        </w:rPr>
        <w:t xml:space="preserve">сведения о размере уставного капитала общества;</w:t>
      </w:r>
    </w:p>
    <w:p>
      <w:pPr>
        <w:pStyle w:val="0"/>
        <w:spacing w:before="200" w:line-rule="auto"/>
        <w:ind w:firstLine="540"/>
        <w:jc w:val="both"/>
      </w:pPr>
      <w:r>
        <w:rPr>
          <w:sz w:val="20"/>
        </w:rPr>
        <w:t xml:space="preserve">права и обязанности участников общества;</w:t>
      </w:r>
    </w:p>
    <w:p>
      <w:pPr>
        <w:pStyle w:val="0"/>
        <w:spacing w:before="200" w:line-rule="auto"/>
        <w:ind w:firstLine="540"/>
        <w:jc w:val="both"/>
      </w:pPr>
      <w:r>
        <w:rPr>
          <w:sz w:val="20"/>
        </w:rPr>
        <w:t xml:space="preserve">сведения о порядке и последствиях выхода участника общества из общества, если право на выход из общества предусмотрено уставом общества;</w:t>
      </w:r>
    </w:p>
    <w:p>
      <w:pPr>
        <w:pStyle w:val="0"/>
        <w:spacing w:before="200" w:line-rule="auto"/>
        <w:ind w:firstLine="540"/>
        <w:jc w:val="both"/>
      </w:pPr>
      <w:r>
        <w:rPr>
          <w:sz w:val="20"/>
        </w:rPr>
        <w:t xml:space="preserve">сведения о порядке перехода доли или части доли в уставном капитале общества к другому лицу;</w:t>
      </w:r>
    </w:p>
    <w:p>
      <w:pPr>
        <w:pStyle w:val="0"/>
        <w:spacing w:before="200" w:line-rule="auto"/>
        <w:ind w:firstLine="540"/>
        <w:jc w:val="both"/>
      </w:pPr>
      <w:r>
        <w:rPr>
          <w:sz w:val="20"/>
        </w:rPr>
        <w:t xml:space="preserve">сведения о порядке хранения документов общества и о порядке предоставления обществом информации участникам общества и другим лицам;</w:t>
      </w:r>
    </w:p>
    <w:p>
      <w:pPr>
        <w:pStyle w:val="0"/>
        <w:spacing w:before="200" w:line-rule="auto"/>
        <w:ind w:firstLine="540"/>
        <w:jc w:val="both"/>
      </w:pPr>
      <w:r>
        <w:rPr>
          <w:sz w:val="20"/>
        </w:rPr>
        <w:t xml:space="preserve">иные сведения, предусмотренные настоящим Федеральным </w:t>
      </w:r>
      <w:r>
        <w:rPr>
          <w:sz w:val="20"/>
        </w:rPr>
        <w:t xml:space="preserve">законом</w:t>
      </w:r>
      <w:r>
        <w:rPr>
          <w:sz w:val="20"/>
        </w:rPr>
        <w:t xml:space="preserve">.</w:t>
      </w:r>
    </w:p>
    <w:p>
      <w:pPr>
        <w:pStyle w:val="0"/>
        <w:spacing w:before="200" w:line-rule="auto"/>
        <w:ind w:firstLine="540"/>
        <w:jc w:val="both"/>
      </w:pPr>
      <w:r>
        <w:rPr>
          <w:sz w:val="20"/>
        </w:rPr>
        <w:t xml:space="preserve">Устав общества может также содержать иные положения, не противоречащие настоящему Федеральному </w:t>
      </w:r>
      <w:r>
        <w:rPr>
          <w:sz w:val="20"/>
        </w:rPr>
        <w:t xml:space="preserve">закону</w:t>
      </w:r>
      <w:r>
        <w:rPr>
          <w:sz w:val="20"/>
        </w:rPr>
        <w:t xml:space="preserve"> и иным федеральным законам.</w:t>
      </w:r>
    </w:p>
    <w:p>
      <w:pPr>
        <w:pStyle w:val="0"/>
        <w:spacing w:before="200" w:line-rule="auto"/>
        <w:ind w:firstLine="540"/>
        <w:jc w:val="both"/>
      </w:pPr>
      <w:r>
        <w:rPr>
          <w:sz w:val="20"/>
        </w:rPr>
        <w:t xml:space="preserve">На основании вышеизложенных положений </w:t>
      </w:r>
      <w:r>
        <w:rPr>
          <w:sz w:val="20"/>
        </w:rPr>
        <w:t xml:space="preserve">статьи 52</w:t>
      </w:r>
      <w:r>
        <w:rPr>
          <w:sz w:val="20"/>
        </w:rPr>
        <w:t xml:space="preserve"> ГК РФ и </w:t>
      </w:r>
      <w:r>
        <w:rPr>
          <w:sz w:val="20"/>
        </w:rPr>
        <w:t xml:space="preserve">части 2 статьи 12</w:t>
      </w:r>
      <w:r>
        <w:rPr>
          <w:sz w:val="20"/>
        </w:rPr>
        <w:t xml:space="preserve"> Федерального закона от 08.02.1998 N 14-ФЗ "Об обществах с ограниченной ответственностью" следует, что действующее законодательство, предъявляющее требования к содержанию учредительных документов, не содержит специальных императивных требований о наличии в учредительных документах общества с ограниченной ответственностью сведений об осуществляемых им видах экономической деятельности.</w:t>
      </w:r>
    </w:p>
    <w:p>
      <w:pPr>
        <w:pStyle w:val="0"/>
        <w:spacing w:before="200" w:line-rule="auto"/>
        <w:outlineLvl w:val="1"/>
        <w:ind w:firstLine="540"/>
        <w:jc w:val="both"/>
      </w:pPr>
      <w:r>
        <w:rPr>
          <w:sz w:val="20"/>
        </w:rPr>
        <w:t xml:space="preserve">Анализ положений Федерального </w:t>
      </w:r>
      <w:r>
        <w:rPr>
          <w:sz w:val="20"/>
        </w:rPr>
        <w:t xml:space="preserve">закона</w:t>
      </w:r>
      <w:r>
        <w:rPr>
          <w:sz w:val="20"/>
        </w:rPr>
        <w:t xml:space="preserve"> от 08.08.2001 N 129-ФЗ "О государственной регистрации юридических лиц и индивидуальных предпринимателей" также указывает, что сообщение юридическим лицом в регистрирующий орган сведения о видах осуществляемой им экономической деятельности (о кодах ОКВЭД) носит уведомительный, а не разрешительный характер. Отсутствие сведений о соответствующем коде по ОКВЭД в ЕГРЮЛ не является препятствием для участия в конкурентной процедуре. Присвоение кодов по ОКВЭД имеет своей целью лишь классификацию и кодирование видов экономической деятельности и информации о них, присвоение организации какого-либо кода по ОКВЭД не лишает ее права на осуществление иных видов деятельности.</w:t>
      </w:r>
    </w:p>
    <w:p>
      <w:pPr>
        <w:pStyle w:val="0"/>
        <w:spacing w:before="200" w:line-rule="auto"/>
        <w:ind w:firstLine="540"/>
        <w:jc w:val="both"/>
      </w:pPr>
      <w:r>
        <w:rPr>
          <w:sz w:val="20"/>
        </w:rPr>
        <w:t xml:space="preserve">Кроме того, в уставе "И" после перечисления всех видов деятельности присутствует формулировка - "Иные виды деятельности, не запрещенные действующим законодательством".</w:t>
      </w:r>
    </w:p>
    <w:p>
      <w:pPr>
        <w:pStyle w:val="0"/>
        <w:spacing w:before="200" w:line-rule="auto"/>
        <w:outlineLvl w:val="1"/>
        <w:ind w:firstLine="540"/>
        <w:jc w:val="both"/>
      </w:pPr>
      <w:r>
        <w:rPr>
          <w:sz w:val="20"/>
        </w:rPr>
        <w:t xml:space="preserve">Учитывая то обстоятельство, что в уставе "И" содержится указание на то, что общество обладает универсальной правоспособностью, может заниматься любыми не запрещенными видами деятельности, неотражение в полной мере всех возможных видов деятельности в ЕГРЮЛ не свидетельствует о недостоверности сведений, поскольку перечень данных видов деятельности, которые общество вправе осуществлять, открыт. Указание в заявлении о государственной регистрации юридического лица в целях внесения в ЕГРЮЛ лишь части видов деятельности не является нарушением требований действующего законодательства, в том числе и законодательства о конрактной системе.</w:t>
      </w:r>
    </w:p>
    <w:p>
      <w:pPr>
        <w:pStyle w:val="0"/>
        <w:spacing w:before="200" w:line-rule="auto"/>
        <w:ind w:firstLine="540"/>
        <w:jc w:val="both"/>
      </w:pPr>
      <w:r>
        <w:rPr>
          <w:sz w:val="20"/>
        </w:rPr>
        <w:t xml:space="preserve">Представление выписки из ЕГРЮЛ, содержащей неполный перечень видов деятельности, которые участник закупки вправе осуществлять, не является предоставлением недостоверных сведений из смысла пункта 1 части 6 статьи 69 Закона о контраткной системе, поскольку недостоверность сведений предполагает несоответствие действительности, чего в данном случае аукционной комиссией установлено не было.</w:t>
      </w:r>
    </w:p>
    <w:p>
      <w:pPr>
        <w:pStyle w:val="0"/>
        <w:spacing w:before="200" w:line-rule="auto"/>
        <w:ind w:firstLine="540"/>
        <w:jc w:val="both"/>
      </w:pPr>
      <w:r>
        <w:rPr>
          <w:sz w:val="20"/>
        </w:rPr>
        <w:t xml:space="preserve">Кроме того, в аукционной документации в требованиях к содержанию и составу заявки на участие в электронном аукционе, в инструкции по заполнению заявки на участие в электронном аукционе не содержатся требования в части установления конкретных требований к кодам ОКВЭД.</w:t>
      </w:r>
    </w:p>
    <w:p>
      <w:pPr>
        <w:pStyle w:val="0"/>
        <w:spacing w:before="200" w:line-rule="auto"/>
        <w:ind w:firstLine="540"/>
        <w:jc w:val="both"/>
      </w:pPr>
      <w:r>
        <w:rPr>
          <w:sz w:val="20"/>
        </w:rPr>
        <w:t xml:space="preserve">На основании изложенного, действия заказчика при отклонении заявки участника ООО "И" были неправомерны, учитывая отсутствие установления действующим законодательством о контрактной системе требований о наличии в выписке из ЕГРЮЛ сведений о видах экономической деятельности по ОКВЭД аналогичных объекту закупки.</w:t>
      </w:r>
    </w:p>
    <w:p>
      <w:pPr>
        <w:pStyle w:val="0"/>
        <w:spacing w:before="200" w:line-rule="auto"/>
        <w:ind w:firstLine="540"/>
        <w:jc w:val="both"/>
      </w:pPr>
      <w:r>
        <w:rPr>
          <w:sz w:val="20"/>
        </w:rPr>
        <w:t xml:space="preserve">Заявка заявителя была подана в соответетствии с требованиями аукционной документации.</w:t>
      </w:r>
    </w:p>
    <w:p>
      <w:pPr>
        <w:pStyle w:val="0"/>
        <w:spacing w:before="200" w:line-rule="auto"/>
        <w:ind w:firstLine="540"/>
        <w:jc w:val="both"/>
      </w:pPr>
      <w:r>
        <w:rPr>
          <w:sz w:val="20"/>
        </w:rPr>
        <w:t xml:space="preserve">Комиссия приходит к выводу о нарушении Заказчиком требований части 2, пункта 1 части 6 статьи 69 Закона о контраткной системе при подведении итогов электронного аукциона.</w:t>
      </w:r>
    </w:p>
    <w:p>
      <w:pPr>
        <w:pStyle w:val="0"/>
        <w:spacing w:before="200" w:line-rule="auto"/>
        <w:ind w:firstLine="540"/>
        <w:jc w:val="both"/>
      </w:pPr>
      <w:r>
        <w:rPr>
          <w:sz w:val="20"/>
        </w:rPr>
        <w:t xml:space="preserve">Учитывая, что выявленные нарушения были установлены в рамках рассмотрения жалобы по делу N 016/06/69-310/2020 от 21.02.2020 года, в соответствии с которым заказчику было выдано предписание об устранении нарушений действующего законодательства и материалы дела был переданы для рассмотрения вопроса о необходимости возбуждения административного производства, повторно материалы для возбуждения административного производства не передавать, предписание не выдавать.</w:t>
      </w:r>
    </w:p>
    <w:p>
      <w:pPr>
        <w:pStyle w:val="0"/>
        <w:spacing w:before="200" w:line-rule="auto"/>
        <w:ind w:firstLine="540"/>
        <w:jc w:val="both"/>
      </w:pPr>
      <w:r>
        <w:rPr>
          <w:sz w:val="20"/>
        </w:rPr>
        <w:t xml:space="preserve">На основании вышеизложенного, руководствуясь </w:t>
      </w:r>
      <w:r>
        <w:rPr>
          <w:sz w:val="20"/>
        </w:rPr>
        <w:t xml:space="preserve">пунктом 2 части 22 статьи 99</w:t>
      </w:r>
      <w:r>
        <w:rPr>
          <w:sz w:val="20"/>
        </w:rPr>
        <w:t xml:space="preserve">, </w:t>
      </w:r>
      <w:r>
        <w:rPr>
          <w:sz w:val="20"/>
        </w:rPr>
        <w:t xml:space="preserve">частью 8 статьи 106</w:t>
      </w:r>
      <w:r>
        <w:rPr>
          <w:sz w:val="20"/>
        </w:rPr>
        <w:t xml:space="preserve"> Федерального закона от 05.04.2013 г. N 44-ФЗ "О контрактной системе в сфере закупок товаров, работ, услуг для обеспечения государственных и муниципальных нужд", Комиссия</w:t>
      </w:r>
    </w:p>
    <w:p>
      <w:pPr>
        <w:pStyle w:val="0"/>
        <w:jc w:val="center"/>
      </w:pPr>
      <w:r>
        <w:rPr>
          <w:sz w:val="20"/>
        </w:rPr>
      </w:r>
    </w:p>
    <w:p>
      <w:pPr>
        <w:pStyle w:val="0"/>
        <w:jc w:val="center"/>
      </w:pPr>
      <w:r>
        <w:rPr>
          <w:sz w:val="20"/>
        </w:rPr>
        <w:t xml:space="preserve">решила:</w:t>
      </w:r>
    </w:p>
    <w:p>
      <w:pPr>
        <w:pStyle w:val="0"/>
        <w:jc w:val="center"/>
      </w:pPr>
      <w:r>
        <w:rPr>
          <w:sz w:val="20"/>
        </w:rPr>
      </w:r>
    </w:p>
    <w:p>
      <w:pPr>
        <w:pStyle w:val="0"/>
        <w:ind w:firstLine="540"/>
        <w:jc w:val="both"/>
      </w:pPr>
      <w:r>
        <w:rPr>
          <w:sz w:val="20"/>
        </w:rPr>
        <w:t xml:space="preserve">Признать жалобу заявителя ООО "И" (вх. N 2129/ж от 21.02.2020 г.) на действия заказчика ГКУ "Г" при проведении закупки N 0311200024920000012 на предмет: "Выполнение работ по ремонту автодорог общего пользования Республики Татарстан" необоснованной.</w:t>
      </w:r>
    </w:p>
    <w:p>
      <w:pPr>
        <w:pStyle w:val="0"/>
        <w:spacing w:before="200" w:line-rule="auto"/>
        <w:ind w:firstLine="540"/>
        <w:jc w:val="both"/>
      </w:pPr>
      <w:r>
        <w:rPr>
          <w:sz w:val="20"/>
        </w:rPr>
        <w:t xml:space="preserve">Признать заказчика ГКУ "Г" нарушившим требования </w:t>
      </w:r>
      <w:r>
        <w:rPr>
          <w:sz w:val="20"/>
        </w:rPr>
        <w:t xml:space="preserve">части 2</w:t>
      </w:r>
      <w:r>
        <w:rPr>
          <w:sz w:val="20"/>
        </w:rPr>
        <w:t xml:space="preserve">, </w:t>
      </w:r>
      <w:r>
        <w:rPr>
          <w:sz w:val="20"/>
        </w:rPr>
        <w:t xml:space="preserve">пункта 1 части 6 статьи 69</w:t>
      </w:r>
      <w:r>
        <w:rPr>
          <w:sz w:val="20"/>
        </w:rPr>
        <w:t xml:space="preserve"> Федерального закона от 05.04.2013 г. N 44-ФЗ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Предписание об устранении нарушений действующего законодательства не выдавать.</w:t>
      </w:r>
    </w:p>
    <w:p>
      <w:pPr>
        <w:pStyle w:val="0"/>
        <w:spacing w:before="200" w:line-rule="auto"/>
        <w:ind w:firstLine="540"/>
        <w:jc w:val="both"/>
      </w:pPr>
      <w:r>
        <w:rPr>
          <w:sz w:val="20"/>
        </w:rPr>
        <w:t xml:space="preserve">Материалы должностному лицу Управления Федеральной антимонопольной службы по Республике Татарстан для рассмотрения вопроса о необходимости возбуждения административного производства не передавать.</w:t>
      </w:r>
    </w:p>
    <w:p>
      <w:pPr>
        <w:pStyle w:val="0"/>
        <w:spacing w:before="200" w:line-rule="auto"/>
        <w:ind w:firstLine="540"/>
        <w:jc w:val="both"/>
      </w:pPr>
      <w:r>
        <w:rPr>
          <w:sz w:val="20"/>
        </w:rPr>
        <w:t xml:space="preserve">Решение Комиссии может быть обжаловано в судебном порядке в течение трех месяцев со дня его принятия.</w:t>
      </w:r>
    </w:p>
    <w:p>
      <w:pPr>
        <w:pStyle w:val="0"/>
        <w:ind w:firstLine="540"/>
        <w:jc w:val="both"/>
      </w:pPr>
      <w:r>
        <w:rPr>
          <w:sz w:val="20"/>
        </w:rPr>
      </w:r>
    </w:p>
    <w:p>
      <w:pPr>
        <w:pStyle w:val="0"/>
        <w:jc w:val="right"/>
      </w:pPr>
      <w:r>
        <w:rPr>
          <w:sz w:val="20"/>
        </w:rPr>
        <w:t xml:space="preserve">Председатель Комиссии</w:t>
      </w:r>
    </w:p>
    <w:p>
      <w:pPr>
        <w:pStyle w:val="0"/>
        <w:jc w:val="right"/>
      </w:pPr>
      <w:r>
        <w:rPr>
          <w:sz w:val="20"/>
        </w:rPr>
        <w:t xml:space="preserve">- [должностное лицо]</w:t>
      </w:r>
    </w:p>
    <w:p>
      <w:pPr>
        <w:pStyle w:val="0"/>
        <w:jc w:val="right"/>
      </w:pPr>
      <w:r>
        <w:rPr>
          <w:sz w:val="20"/>
        </w:rPr>
      </w:r>
    </w:p>
    <w:p>
      <w:pPr>
        <w:pStyle w:val="0"/>
        <w:jc w:val="right"/>
      </w:pPr>
      <w:r>
        <w:rPr>
          <w:sz w:val="20"/>
        </w:rPr>
        <w:t xml:space="preserve">Члены Комиссии</w:t>
      </w:r>
    </w:p>
    <w:p>
      <w:pPr>
        <w:pStyle w:val="0"/>
        <w:jc w:val="right"/>
      </w:pPr>
      <w:r>
        <w:rPr>
          <w:sz w:val="20"/>
        </w:rPr>
        <w:t xml:space="preserve">- [должностное лицо]</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Татарстанского УФАС России от 03.03.2020 N АЯ-04/2665
Нарушение: ч. 2, п. 1 ч. 6 ст. 69 Закона о контрактной системе.
Решение: Признать жалобу необоснованной; предписание не выдавать.</dc:title>
  <dcterms:created xsi:type="dcterms:W3CDTF">2022-12-08T05:29:08Z</dcterms:created>
</cp:coreProperties>
</file>